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D6" w:rsidRPr="007D09D6" w:rsidRDefault="007D09D6" w:rsidP="007D09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7D09D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Распоряжение Правительства Российской Федерации от 21 мая 2025 г. № 1264-р</w:t>
      </w:r>
      <w:proofErr w:type="gramStart"/>
      <w:r w:rsidRPr="007D09D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О</w:t>
      </w:r>
      <w:proofErr w:type="gramEnd"/>
      <w:r w:rsidRPr="007D09D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б утверждении Концепции развития наставничества в РФ на период до 2030 г. 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                                                   </w:t>
      </w:r>
      <w:r w:rsidRPr="007D09D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и плана мероприятий по её реализации</w:t>
      </w:r>
    </w:p>
    <w:p w:rsidR="007D09D6" w:rsidRPr="007D09D6" w:rsidRDefault="007D09D6" w:rsidP="007D09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0"/>
      <w:bookmarkEnd w:id="0"/>
    </w:p>
    <w:p w:rsidR="007D09D6" w:rsidRPr="007D09D6" w:rsidRDefault="007D09D6" w:rsidP="007D09D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1. Утвердить прилагаемые:</w:t>
      </w:r>
    </w:p>
    <w:p w:rsidR="007D09D6" w:rsidRPr="007D09D6" w:rsidRDefault="007D09D6" w:rsidP="007D09D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anchor="100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Концепцию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развития наставничества в Российской Федерации на период до 2030 года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(далее - Концепция);</w:t>
      </w:r>
    </w:p>
    <w:p w:rsidR="007D09D6" w:rsidRPr="007D09D6" w:rsidRDefault="007D09D6" w:rsidP="007D09D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anchor="2000" w:history="1">
        <w:r>
          <w:rPr>
            <w:rFonts w:ascii="Times New Roman" w:eastAsia="Times New Roman" w:hAnsi="Times New Roman" w:cs="Times New Roman"/>
            <w:sz w:val="24"/>
            <w:szCs w:val="24"/>
          </w:rPr>
          <w:t>П</w:t>
        </w:r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лан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по реализации Концепции развития наставничества в Российской Федерации на период до 2030 года (далее - план мероприятий).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2. Заинтересованным федеральным органам исполнительной власти, участвующим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в реализации </w:t>
      </w:r>
      <w:hyperlink r:id="rId6" w:anchor="200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плана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мероприятий: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обеспечить реализацию </w:t>
      </w:r>
      <w:hyperlink r:id="rId7" w:anchor="100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Концепции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8" w:anchor="200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плана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в пределах бюджетных ассигнований, предусмотренных федеральным органам исполнительной власти в федеральном бюджете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на соответствующий финансовый год и плановый период;</w:t>
      </w:r>
    </w:p>
    <w:p w:rsid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ежегодно, до 1 марта года, следующего за отчетным годом, представлять в 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России отчеты о ходе реализации </w:t>
      </w:r>
      <w:hyperlink r:id="rId9" w:anchor="200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плана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мероприятий.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России осуществлять координацию деятельности по выполнению </w:t>
      </w:r>
      <w:hyperlink r:id="rId10" w:anchor="200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плана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и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ходом его реализации.</w:t>
      </w:r>
    </w:p>
    <w:p w:rsidR="007D09D6" w:rsidRDefault="007D09D6" w:rsidP="007D09D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4. Рекомендовать органам государственной власти субъектов Российской Федерации и органам местного самоуправления руководствоваться положениями </w:t>
      </w:r>
      <w:hyperlink r:id="rId11" w:anchor="100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Концепции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при принятии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пределах своей компетенции решений в сфере развития наставничества.</w:t>
      </w:r>
    </w:p>
    <w:p w:rsidR="007D09D6" w:rsidRPr="007D09D6" w:rsidRDefault="007D09D6" w:rsidP="007D09D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53"/>
        <w:gridCol w:w="3053"/>
      </w:tblGrid>
      <w:tr w:rsidR="007D09D6" w:rsidRPr="007D09D6" w:rsidTr="007D09D6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7D09D6" w:rsidRPr="007D09D6" w:rsidRDefault="007D09D6" w:rsidP="007D0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9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Правительства</w:t>
            </w:r>
            <w:r w:rsidRPr="007D09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Российской Федерации </w:t>
            </w:r>
          </w:p>
        </w:tc>
        <w:tc>
          <w:tcPr>
            <w:tcW w:w="2500" w:type="pct"/>
            <w:vAlign w:val="center"/>
            <w:hideMark/>
          </w:tcPr>
          <w:p w:rsidR="007D09D6" w:rsidRPr="007D09D6" w:rsidRDefault="007D09D6" w:rsidP="007D0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9D6">
              <w:rPr>
                <w:rFonts w:ascii="Times New Roman" w:eastAsia="Times New Roman" w:hAnsi="Times New Roman" w:cs="Times New Roman"/>
                <w:sz w:val="24"/>
                <w:szCs w:val="24"/>
              </w:rPr>
              <w:t>М. </w:t>
            </w:r>
            <w:proofErr w:type="spellStart"/>
            <w:r w:rsidRPr="007D09D6">
              <w:rPr>
                <w:rFonts w:ascii="Times New Roman" w:eastAsia="Times New Roman" w:hAnsi="Times New Roman" w:cs="Times New Roman"/>
                <w:sz w:val="24"/>
                <w:szCs w:val="24"/>
              </w:rPr>
              <w:t>Мишустин</w:t>
            </w:r>
            <w:proofErr w:type="spellEnd"/>
            <w:r w:rsidRPr="007D09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D09D6" w:rsidRPr="007D09D6" w:rsidRDefault="007D09D6" w:rsidP="007D09D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УТВЕРЖДЕНА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2" w:anchor="0" w:history="1">
        <w:r w:rsidRPr="007D09D6">
          <w:rPr>
            <w:rFonts w:ascii="Times New Roman" w:eastAsia="Times New Roman" w:hAnsi="Times New Roman" w:cs="Times New Roman"/>
            <w:sz w:val="24"/>
            <w:szCs w:val="24"/>
          </w:rPr>
          <w:t>распоряжением</w:t>
        </w:r>
      </w:hyperlink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br/>
        <w:t>Российской Федерации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br/>
        <w:t>от 21 мая 2025 г. N 1264-р</w:t>
      </w:r>
    </w:p>
    <w:p w:rsidR="007D09D6" w:rsidRPr="007D09D6" w:rsidRDefault="007D09D6" w:rsidP="007D09D6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Концепция</w:t>
      </w: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развития наставничества в Российской Федерации на период до 2030 года</w:t>
      </w:r>
    </w:p>
    <w:p w:rsidR="007D09D6" w:rsidRPr="007D09D6" w:rsidRDefault="007D09D6" w:rsidP="007D09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I. Общие положения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Настоящая Концепция является документом планирования, определяющим цели, задачи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и приоритетные направления развития наставничества на период до 2030 года 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с законодательством Российской Федерации.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Настоящая Концепция разработана во исполнение подпункта "а" пункта 1 перечня поручений Президента Российской Федерации по итогам заседания Государственного Совета Российской Федерации по вопросу повышения роли и престижа педагога и наставника 27 декабря 2023 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(N Пр-251ГС от 12 февраля 2024 г.), а также с учетом: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Трудового кодекса Российской Федерации;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Гражданского кодекса Российской Федерации;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федеральных законов "Об общественных объединениях", "О благотворительной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и добровольчестве (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волонтерстве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)", "О дополнительных гарантиях по социальной поддержке детей-сирот и детей, оставшихся без попечения родителей", "Об основных гарантиях прав ребенка в Российской Федерации", "О молодежной политике в Российской Федерации",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"Об основах системы профилактики безнадзорности и правонарушений несовершеннолетних",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"О развитии малого и среднего предпринимательства в Российской Федерации",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"О 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саморегулируемых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организациях", "Об образовании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в Российской Федерации",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"О российском движении детей и молодежи", "О занятости населения в Российской Федерации",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"О некоммерческих организациях";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указов Президента Российской Федерации от 24 декабря 2014 г. N 808 "Об утверждении Основ государственной культурной политики", от 2 марта 2018 г. N 94 "Об учреждении знака отличия "За наставничество", от 9 ноября 2022 г. N 809 "Об утверждении Основ государственной политики по сохранению и укреплению традиционных российских духовно-нравственных ценностей", от 28 февраля 2024 г. N 145 "О Стратегии научно-технологического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развития Российской Федерации", от 7 мая 2024 г. N 309 "О национальных целях развития Российской Федерации на период до 2030 года и на перспективу до 2036 года";</w:t>
      </w:r>
    </w:p>
    <w:p w:rsidR="007D09D6" w:rsidRPr="007D09D6" w:rsidRDefault="007D09D6" w:rsidP="007D0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постановлений Правительства Российской Федерации от 26 декабря 2017 г. N 1642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"Об утверждении государственной программы Российской Федерации "Развитие образования", от 7 октября 2019 г. N 1296 "Об утверждении Положения о наставничестве на государственной гражданской службе Российской Федерации";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распоряжений Правительства Российской Федерации от 14 декабря 2021 г. N 3581-р, от 1 июля 2024 г. N 1734-р, от 11 сентября 2024 г. N 2501-р.</w:t>
      </w:r>
    </w:p>
    <w:p w:rsidR="007D09D6" w:rsidRPr="007D09D6" w:rsidRDefault="007D09D6" w:rsidP="007D09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II. Цель и задачи настоящей Концепции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Настоящая Концепция разработана в целях определения государственной политики развития наставничества в Российской Федерации на период до 2030 года.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Задачами настоящей Концепции являются: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определение единой терминологии в сфере наставничества в Российской Федерации;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обобщение реализуемых в Российской Федерации наставнических практик;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единых подходов к реализации наставничества в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соответствии с целями и задачами экономического и социального развития общества;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совершенствование механизмов деятельности федеральных органов исполнительной власти, исполнительных органов субъектов Российской Федерации, органов местного самоуправления, субъектов экономической деятельности, организаций, осуществляющих образовательную деятельность, и организаций социальной сферы, направленной на развитие наставничества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Российской Федерации.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В настоящей Концепции используются следующие понятия: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"наставничество" - социально-педагогическая технология сопровождения личностного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и профессионального развития человека, формирования у него традиционных российских духовно-нравственных ценностей;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"наставник" - носитель значимого опыта, традиционных российских духовно-нравственных ценностей, осуществляющий наставничество в отношении наставляемого;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"наставляемый" - человек, в отношении которого осуществляется наставничество;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"молодежный и детско-взрослый коллектив" - сообщество обучающихся и работников отдельной организации, осуществляющей образовательную деятельность, совокупность членов и участников детских и молодежных общественных объединений, участников Общероссийского общественно-государственного движения детей и молодежи "Движение первых", совокупность участников иных форм и видов коллективов, создание которых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не противоречит нормам законодательства Российской Федерации.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Иные понятия, используемые в настоящей Концепции, употребляются в значениях, определенных нормативными правовыми актами Российской Федерации.</w:t>
      </w: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III. Цель, задачи и формы наставничества</w:t>
      </w:r>
    </w:p>
    <w:p w:rsidR="007D09D6" w:rsidRP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b/>
          <w:sz w:val="24"/>
          <w:szCs w:val="24"/>
        </w:rPr>
        <w:t>Целью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наставничества является развитие личности наставляемого, формирование у него трудолюбия, ответственного отношения к труду и его результатам, передача знаний, умений, навыков, формирование у наставляемого позитивного отношения и приверженности традиционным ценностям многонационального российского народа,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над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материальным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, гуманизм, милосердие, справедливость, коллективизм, взаимопомощь и взаимоуважение, историческая память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и преемственность поколений, единство народов России.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Наставничество является институтом развития гражданского общества и направлено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на развитие его человеческого капитала.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Настоящая Концепция описывает подходы к организации и реализации наставничества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в молодежном и детско-взрослом коллективе и в сфере труда, а также к реализации иных видов наставничества, которые предполагают регулирование отдельными нормативными правовыми или локальными актами.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b/>
          <w:sz w:val="24"/>
          <w:szCs w:val="24"/>
        </w:rPr>
        <w:t>К задачам наставничества относятся: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создание условий для самоопределения и социализации наставляемого на основе традиционных российских духовно-нравственных ценностей, формирования гармоничной, всесторонне развитой личности;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выявление и актуализация у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наставляемого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устойчивой внутренней мотивации к созидательной деятельности;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непрерывная поддержка наставляемого в процессе получения им новых компетенций,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том числе профессиональной деятельности;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создание условий освоения деятельности, направленных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на формирование самостоятельности и ответственности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наставляемого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повышение как у наставляемых, так и у наставников уровня удовлетворенности своей деятельностью;</w:t>
      </w:r>
      <w:proofErr w:type="gramEnd"/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создание условий для привлечения в качестве наставников и наставляемых ветеранов боевых действий, в том числе лиц, принимавших участие в специальной военной операции.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Наставничество реализуется в следующих формах: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индивидуальная форма ("наставник - наставляемый");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коллективная форма ("наставник - коллектив наставляемых", "коллектив наставников - наставляемый", "коллектив наставников - коллектив наставляемых").</w:t>
      </w: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IV. Наставничество в молодежном и детско-взрослом коллективе</w:t>
      </w:r>
    </w:p>
    <w:p w:rsidR="007D09D6" w:rsidRP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Целью наставничества в молодежном и детско-взрослом коллективе является разносторонняя поддержка наставляемого, помощь в профессиональной ориентации и социальной адаптации, получении общего и профессионального образования, опыта участия в созидательном труде, а также формирование у наставляемого традиционных российских духовно-нравственных ценностей.</w:t>
      </w:r>
      <w:proofErr w:type="gramEnd"/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Наставничество в молодежном и детско-взрослом коллективе осуществляется на основе следующих принципов: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индивидуальный подход, в том числе учет особенностей личности, потребностей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и обстоятельств жизни каждого наставляемого;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добровольность, в том числе участие наставников наставляемых на добровольной основе;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конфиденциальность, в том числе соблюдение прав наставляемых на защиту их личной информации;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профессионализм, в том числе обеспечение наставников необходимыми знаниями и навыками для работы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наставляемыми;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гуманность и уважение, в том числе отношение к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наставляемому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как к личности, уважение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его прав, достоинства и интересов;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lastRenderedPageBreak/>
        <w:t>системность, в том числе взаимодействие всех участников системы профилактики безнадзорности и правонарушений несовершеннолетних для достижения максимального эффекта;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профилактическая направленность, в том числе акцент на предотвращение правонарушений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антисоциального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поведения, а не только на реагирование на уже возникшие проблемы.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При реализации наставничества в молодежном и детско-взрослом коллективе в качестве наставников привлекаются следующие граждане Российской Федерации: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участники молодежного и детско-взрослого коллектива в целях получения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наставляемыми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актуальной информации, необходимой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для дальнейшей самореализации, профессиональной реализации и трудоустройства;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представители общественных организаций и объединений ветеранов труда и боевых действий, в том числе лица, принимавшие участие в специальной военной операции, физкультурно-спортивных организаций, религиозных организаций, принадлежащих к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традиционным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для народов Российской Федерации 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конфессиям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>, и иных организаций, деятельность которых основывается на традиционных российских духовно-нравственных ценностях;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педагогические и социальные работники, а также иные лица, включенные в формируемый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2 статьи 8</w:t>
      </w:r>
      <w:r w:rsidRPr="007D09D6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2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Федерального закона "Об основах системы профилактики безнадзорности и правонарушений несовершеннолетних" реестр наставников, привлекаемых для осуществления индивидуальной профилактической работы с несовершеннолетними, которые состоят на различных видах профилактического учета в органах и учреждениях системы профилактики безнадзорности и правонарушений несовершеннолетних.</w:t>
      </w:r>
      <w:proofErr w:type="gramEnd"/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Одной из ключевых целей развития наставничества для несовершеннолетних, в отношении которых осуществляется индивидуальная профилактическая работа, является создание эффективных механизмов взаимодействия всех участников системы профилактики безнадзорности и правонарушений несовершеннолетних, включая наставников, организации, осуществляющие образовательную деятельность, некоммерческие организации, организации, участвующие в деятельности по профилактике безнадзорности и правонарушений несовершеннолетних, а также других участников, задействованных в системе профилактики безнадзорности и правонарушений несовершеннолетних.</w:t>
      </w:r>
      <w:proofErr w:type="gramEnd"/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Такое взаимодействие направлено на обеспечение комплексного подхода к решению проблем несовершеннолетних, объединение усилий всех заинтересованных сторон и создание единого пространства поддержки, способствующего успешной социализации, реабилитации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и интеграции подростков в общество, в соответствии с Федеральным законом "Об основах системы профилактики безнадзорности и правонарушений несовершеннолетних".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В наставничество в отношении детей, находящихся в трудных жизненных ситуациях, вовлечен ряд институтов гражданского общества, но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важны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прежде всего позитивный образ и ролевая модель самого наставника, гражданина и патриота России, человека, имеющего опыт, достижения и заслуги.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В связи с этим значимой задачей является создание условий для привлечения в качестве наставников (в том числе для несовершеннолетних) ветеранов боевых действий, а также лиц, принимавших участие в специальной военной операции.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Наставничество в молодежном и детско-взрослом коллективе может быть реализовано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как с наставником из числа участников молодежного и детско-взрослого коллектива,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так и с наставником, не являющимся участником молодежного и детско-взрослого коллектива.</w:t>
      </w:r>
    </w:p>
    <w:p w:rsidR="007D09D6" w:rsidRPr="007D09D6" w:rsidRDefault="007D09D6" w:rsidP="007D09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V. Наставничество в сфере труда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Наставничество в сфере труда - выполнение работником на основании его письменного согласия по поручению работодателя работы по оказанию другому работнику помощи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овладении навыками работы на производстве и (или) рабочем месте по полученной (получаемой) другим работником профессии (специальности) на основании трудового договора или дополнительного соглашения к трудовому договору.</w:t>
      </w:r>
      <w:proofErr w:type="gramEnd"/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Наставничество в сфере труда регулируется Трудовым кодексом Российской Федерации, коллективными договорами и соглашениями.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При внедрении наставничества на государственной гражданской службе действие трудового законодательства распространяется с особенностями, предусмотренными федеральными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lastRenderedPageBreak/>
        <w:t>законами и иными нормативными правовыми актами Российской Федерации о государственной гражданской службе.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Наставничество на государственной гражданской службе Российской Федерации регулируется в соответствии с постановлением Правительства Российской Федерации от 7 октября 2019 г. N 1296 "Об утверждении Положения о наставничестве на государственной гражданской службе Российской Федерации".</w:t>
      </w:r>
    </w:p>
    <w:p w:rsid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С учетом многообразия форм и разнообразия практик наставничества, сложившихся в сфере труда, их обобщение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в том числе на площадке Российской трехсторонней комиссии по регулированию социально-трудовых отношений и отражается в рекомендациях по вопросам организации наставничества в сфере труда.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VI. Иные виды наставничества</w:t>
      </w:r>
    </w:p>
    <w:p w:rsidR="007D09D6" w:rsidRP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К иным видам наставничества относятся: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лидерское наставничество;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социальное наставничество;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другие виды наставничества.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Лидерское наставничество связано с развитием лидеров коллективов, лидерских команд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при помощи лидеров-наставников и их сообществ.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Социальное наставничество направлено на формирование гармоничной, всесторонне развитой личности и обмен ведущим опытом между организациями (не включая наставничество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в молодежном и детско-взрослом коллективе) и может быть реализовано в таких сферах,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как общественная сфера и некоммерческий сектор, образование, здравоохранение, культура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и искусство, физическая культура и спорт, военное дело и др.</w:t>
      </w:r>
    </w:p>
    <w:p w:rsid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Иные виды наставничества могут регулироваться отдельными нормативными правовыми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и локальными актами.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9D6" w:rsidRP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VII. Направления содействия развитию наставничества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Направлениями содействия развитию наставничества со стороны федеральных органов исполнительной власти, исполнительных органов субъектов Российской Федерации и органов местного самоуправления являются: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принятие на федеральном, региональном и муниципальном уровнях правовых актов, определяющих меры поддержки наставничества;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популяризация наставничества, наиболее успешных наставнических практик посредством средств массовой информации и ресурсов в информационно-телекоммуникационной сети "Интернет";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проведение конкурсов, направленных на выявление лучших наставников и наставнических практик;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поддержка разработки и реализации образовательных программ, направленных на развитие наставнических компетенций у наставников;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поддержка развития и наполнения цифровой платформы, отражающей потребности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наставнической поддержке и наставниках в сферах общественной деятельности и молодежной политики, единой информационной системы в сфере развития добровольчества (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волонтерства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>) (цифровая платформа "НАСТАВНИК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>Ф");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приоритетное привлечение к наставнической деятельности в сфере образования и воспитания,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молодежном и детско-взрослом коллективе представителей общественных 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и объединений ветеранов труда и боевых действий, в том числе лиц, принимавших участие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в специальной военной операции, религиозных организаций, принадлежащих к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традиционным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для народов Российской Федерации </w:t>
      </w:r>
      <w:proofErr w:type="spellStart"/>
      <w:r w:rsidRPr="007D09D6">
        <w:rPr>
          <w:rFonts w:ascii="Times New Roman" w:eastAsia="Times New Roman" w:hAnsi="Times New Roman" w:cs="Times New Roman"/>
          <w:sz w:val="24"/>
          <w:szCs w:val="24"/>
        </w:rPr>
        <w:t>конфессиям</w:t>
      </w:r>
      <w:proofErr w:type="spellEnd"/>
      <w:r w:rsidRPr="007D09D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поддержка некоммерческих организаций и проектов, реализуемых некоммерческими организациями, в целях обмена лучшими практиками и повышения устойчивости некоммерческих организаций путем привлечения их в качестве наставников;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развитие наставничества между некоммерческими организациями;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развитие мер государственной поддержки некоммерческих организаций, осуществляющих наставническую деятельность, в том числе поддержки социально ориентированных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lastRenderedPageBreak/>
        <w:t>некоммерческих организаций в соответствии со статьей 31</w:t>
      </w:r>
      <w:r w:rsidRPr="007D09D6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"О некоммерческих организациях";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поддержка разработки и издания методических и научно-популярных материалов, направленных на популяризацию наставничества, продвижение лучших наставнических практик, а также развитие наставнических компетенций у наставников;</w:t>
      </w:r>
    </w:p>
    <w:p w:rsid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принятие мер по оказанию разносторонней поддержки гражданам, включенным в реестр наставников, привлекаемых для осуществления индивидуальной профилактической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с несовершеннолетними, и организациям, включенным в реестр организаций, участвующих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в деятельности по профилактике безнадзорности и правонарушений несовершеннолетних, формируемые в соответствии с пунктом 2 статьи 8</w:t>
      </w:r>
      <w:r w:rsidRPr="007D09D6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2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>Федерального закона "Об основах системы профилактики безнадзорности и правонарушений несовершеннолетних".</w:t>
      </w:r>
      <w:proofErr w:type="gramEnd"/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VIII. Целевые ориентиры реализации настоящей Концепции</w:t>
      </w:r>
    </w:p>
    <w:p w:rsidR="007D09D6" w:rsidRP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Для наставничества целевыми ориентирами, достижение которых необходимо обеспечить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к 2030 году, выступают: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доля государственных и муниципальных организаций, осуществляющих образовательную деятельность и реализующих наставничество в соответствии с настоящей Концепцией, в общем количестве государственных и муниципальных организаций, осуществляющих образовательную деятельность (не менее 70 процентов);</w:t>
      </w:r>
    </w:p>
    <w:p w:rsid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доля несовершеннолетних, указанных в пункте 1 статьи 5 Федерального закона "Об основах системы профилактики безнадзорности и правонарушений несовершеннолетних",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работа, которые имеют наставников, в общем количестве указанных несовершеннолетних,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 (не менее</w:t>
      </w:r>
      <w:proofErr w:type="gramEnd"/>
      <w:r w:rsidRPr="007D09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09D6">
        <w:rPr>
          <w:rFonts w:ascii="Times New Roman" w:eastAsia="Times New Roman" w:hAnsi="Times New Roman" w:cs="Times New Roman"/>
          <w:sz w:val="24"/>
          <w:szCs w:val="24"/>
        </w:rPr>
        <w:t>10 процентов).</w:t>
      </w:r>
      <w:proofErr w:type="gramEnd"/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D09D6">
        <w:rPr>
          <w:rFonts w:ascii="Times New Roman" w:eastAsia="Times New Roman" w:hAnsi="Times New Roman" w:cs="Times New Roman"/>
          <w:b/>
          <w:bCs/>
          <w:sz w:val="27"/>
          <w:szCs w:val="27"/>
        </w:rPr>
        <w:t>IX. Риски реализации настоящей Концепции</w:t>
      </w:r>
    </w:p>
    <w:p w:rsidR="007D09D6" w:rsidRPr="007D09D6" w:rsidRDefault="007D09D6" w:rsidP="007D09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Ключевые риски реализации настоящей Концепции: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трансляция через наставничество деструктивных идей, противоречащих традиционным российским духовно-нравственным ценностям;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представление государственными и муниципальными организациями в Министерство просвещения Российской Федерации недостоверной информации о достижении целевых ориентиров настоящей Концепции;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формирование избыточной отчетности;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снижение трудовой эффективности наставника по основному виду трудовой деятельности;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нечеткое распределение функционала наставников в организациях и (или) на предприятиях.</w:t>
      </w:r>
    </w:p>
    <w:p w:rsidR="007D09D6" w:rsidRPr="007D09D6" w:rsidRDefault="007D09D6" w:rsidP="007D0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9D6">
        <w:rPr>
          <w:rFonts w:ascii="Times New Roman" w:eastAsia="Times New Roman" w:hAnsi="Times New Roman" w:cs="Times New Roman"/>
          <w:sz w:val="24"/>
          <w:szCs w:val="24"/>
        </w:rPr>
        <w:t>Для нивелирования рисков реализации настоящей Концепции при осуществлении мониторинга реализации настоящей Концепции следует прибегать к широкому спектру методик, в том числе проведению социологических исследований среди целевых групп работников организаций, членов молодежных и детско-взрослых коллективов.</w:t>
      </w:r>
    </w:p>
    <w:p w:rsidR="00000000" w:rsidRDefault="007D09D6" w:rsidP="007D09D6">
      <w:pPr>
        <w:spacing w:after="0" w:line="240" w:lineRule="auto"/>
        <w:jc w:val="both"/>
      </w:pPr>
    </w:p>
    <w:sectPr w:rsidR="00000000" w:rsidSect="007D09D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7D09D6"/>
    <w:rsid w:val="007D0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09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D09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D09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9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D09D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D09D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ard-text">
    <w:name w:val="card-text"/>
    <w:basedOn w:val="a"/>
    <w:rsid w:val="007D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D09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D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9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11951838/?ysclid=muxsp7q9jg71852263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arant.ru/products/ipo/prime/doc/411951838/?ysclid=muxsp7q9jg718522631" TargetMode="External"/><Relationship Id="rId12" Type="http://schemas.openxmlformats.org/officeDocument/2006/relationships/hyperlink" Target="https://www.garant.ru/products/ipo/prime/doc/411951838/?ysclid=muxsp7q9jg7185226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411951838/?ysclid=muxsp7q9jg718522631" TargetMode="External"/><Relationship Id="rId11" Type="http://schemas.openxmlformats.org/officeDocument/2006/relationships/hyperlink" Target="https://www.garant.ru/products/ipo/prime/doc/411951838/?ysclid=muxsp7q9jg718522631" TargetMode="External"/><Relationship Id="rId5" Type="http://schemas.openxmlformats.org/officeDocument/2006/relationships/hyperlink" Target="https://www.garant.ru/products/ipo/prime/doc/411951838/?ysclid=muxsp7q9jg718522631" TargetMode="External"/><Relationship Id="rId10" Type="http://schemas.openxmlformats.org/officeDocument/2006/relationships/hyperlink" Target="https://www.garant.ru/products/ipo/prime/doc/411951838/?ysclid=muxsp7q9jg718522631" TargetMode="External"/><Relationship Id="rId4" Type="http://schemas.openxmlformats.org/officeDocument/2006/relationships/hyperlink" Target="https://www.garant.ru/products/ipo/prime/doc/411951838/?ysclid=muxsp7q9jg718522631" TargetMode="External"/><Relationship Id="rId9" Type="http://schemas.openxmlformats.org/officeDocument/2006/relationships/hyperlink" Target="https://www.garant.ru/products/ipo/prime/doc/411951838/?ysclid=muxsp7q9jg71852263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3240</Words>
  <Characters>18473</Characters>
  <Application>Microsoft Office Word</Application>
  <DocSecurity>0</DocSecurity>
  <Lines>153</Lines>
  <Paragraphs>43</Paragraphs>
  <ScaleCrop>false</ScaleCrop>
  <Company>MultiDVD Team</Company>
  <LinksUpToDate>false</LinksUpToDate>
  <CharactersWithSpaces>21670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2026-10-07T07:39:00Z</dcterms:created>
  <dcterms:modified xsi:type="dcterms:W3CDTF">2026-10-07T07:48:00Z</dcterms:modified>
</cp:coreProperties>
</file>